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497058" w14:textId="77777777" w:rsidR="008C7707" w:rsidRDefault="001B2D63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#</w:t>
      </w:r>
      <w:proofErr w:type="spellStart"/>
      <w:r>
        <w:rPr>
          <w:b/>
          <w:sz w:val="36"/>
          <w:szCs w:val="36"/>
        </w:rPr>
        <w:t>YYJEdChat</w:t>
      </w:r>
      <w:proofErr w:type="spellEnd"/>
      <w:r>
        <w:rPr>
          <w:b/>
          <w:sz w:val="36"/>
          <w:szCs w:val="36"/>
        </w:rPr>
        <w:t xml:space="preserve"> Community: A Study of Community Conversations as Curriculum</w:t>
      </w:r>
    </w:p>
    <w:p w14:paraId="76679D55" w14:textId="77777777" w:rsidR="008C7707" w:rsidRDefault="001B2D63">
      <w:pPr>
        <w:jc w:val="center"/>
        <w:rPr>
          <w:sz w:val="28"/>
          <w:szCs w:val="28"/>
        </w:rPr>
      </w:pPr>
      <w:r>
        <w:rPr>
          <w:sz w:val="28"/>
          <w:szCs w:val="28"/>
        </w:rPr>
        <w:t>Flora Wood and Dr. Valerie Irvine</w:t>
      </w:r>
    </w:p>
    <w:p w14:paraId="000BBD05" w14:textId="77777777" w:rsidR="008C7707" w:rsidRDefault="008C7707">
      <w:pPr>
        <w:jc w:val="center"/>
        <w:rPr>
          <w:sz w:val="28"/>
          <w:szCs w:val="28"/>
        </w:rPr>
      </w:pPr>
    </w:p>
    <w:p w14:paraId="5D5F1519" w14:textId="77777777" w:rsidR="008C7707" w:rsidRDefault="001B2D63">
      <w:pPr>
        <w:rPr>
          <w:b/>
          <w:sz w:val="24"/>
          <w:szCs w:val="24"/>
        </w:rPr>
      </w:pPr>
      <w:r>
        <w:rPr>
          <w:b/>
          <w:sz w:val="24"/>
          <w:szCs w:val="24"/>
        </w:rPr>
        <w:t>Introduction</w:t>
      </w:r>
    </w:p>
    <w:p w14:paraId="23B94756" w14:textId="77777777" w:rsidR="008C7707" w:rsidRDefault="001B2D63">
      <w:pPr>
        <w:rPr>
          <w:sz w:val="24"/>
          <w:szCs w:val="24"/>
        </w:rPr>
      </w:pPr>
      <w:r>
        <w:rPr>
          <w:sz w:val="24"/>
          <w:szCs w:val="24"/>
        </w:rPr>
        <w:t>Teacher professional development (Pro-D) often occurs in top-down instructed workshops which do not cater to the specific needs of a classroom teacher. Teachers often feel isolated due to busy schedules and the diverse needs of their class (</w:t>
      </w:r>
      <w:proofErr w:type="spellStart"/>
      <w:r>
        <w:rPr>
          <w:sz w:val="24"/>
          <w:szCs w:val="24"/>
        </w:rPr>
        <w:t>Seo</w:t>
      </w:r>
      <w:proofErr w:type="spellEnd"/>
      <w:r>
        <w:rPr>
          <w:sz w:val="24"/>
          <w:szCs w:val="24"/>
        </w:rPr>
        <w:t>, 2014). Many local educators are working in silos and do not have a viable means of sharing resources or gaining personalized Pro-D.</w:t>
      </w:r>
    </w:p>
    <w:p w14:paraId="15F27AE6" w14:textId="77777777" w:rsidR="008C7707" w:rsidRDefault="008C7707">
      <w:pPr>
        <w:rPr>
          <w:sz w:val="24"/>
          <w:szCs w:val="24"/>
        </w:rPr>
      </w:pPr>
    </w:p>
    <w:p w14:paraId="12617611" w14:textId="77777777" w:rsidR="008C7707" w:rsidRDefault="001B2D63">
      <w:pPr>
        <w:rPr>
          <w:b/>
          <w:sz w:val="24"/>
          <w:szCs w:val="24"/>
        </w:rPr>
      </w:pPr>
      <w:r>
        <w:rPr>
          <w:b/>
          <w:sz w:val="24"/>
          <w:szCs w:val="24"/>
        </w:rPr>
        <w:t>References</w:t>
      </w:r>
    </w:p>
    <w:p w14:paraId="3FFB199B" w14:textId="77777777" w:rsidR="008C7707" w:rsidRDefault="001B2D6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Brooks, C. F. (2010). Toward ‘hybridized’ faculty development for the </w:t>
      </w:r>
    </w:p>
    <w:p w14:paraId="1F122853" w14:textId="77777777" w:rsidR="008C7707" w:rsidRDefault="001B2D63">
      <w:pPr>
        <w:widowControl w:val="0"/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twenty</w:t>
      </w:r>
      <w:r>
        <w:rPr>
          <w:rFonts w:ascii="Cambria Math" w:hAnsi="Cambria Math" w:cs="Cambria Math"/>
          <w:sz w:val="24"/>
          <w:szCs w:val="24"/>
        </w:rPr>
        <w:t>‐</w:t>
      </w:r>
      <w:r>
        <w:rPr>
          <w:sz w:val="24"/>
          <w:szCs w:val="24"/>
        </w:rPr>
        <w:t>first</w:t>
      </w:r>
      <w:proofErr w:type="gramEnd"/>
      <w:r>
        <w:rPr>
          <w:sz w:val="24"/>
          <w:szCs w:val="24"/>
        </w:rPr>
        <w:t xml:space="preserve"> century: blending online communities of practice and </w:t>
      </w:r>
    </w:p>
    <w:p w14:paraId="16A1C9E7" w14:textId="77777777" w:rsidR="008C7707" w:rsidRDefault="001B2D63">
      <w:pPr>
        <w:widowControl w:val="0"/>
        <w:ind w:left="720"/>
        <w:rPr>
          <w:sz w:val="24"/>
          <w:szCs w:val="24"/>
        </w:rPr>
      </w:pPr>
      <w:proofErr w:type="gramStart"/>
      <w:r>
        <w:rPr>
          <w:sz w:val="24"/>
          <w:szCs w:val="24"/>
        </w:rPr>
        <w:t>face</w:t>
      </w:r>
      <w:r>
        <w:rPr>
          <w:rFonts w:ascii="Cambria Math" w:hAnsi="Cambria Math" w:cs="Cambria Math"/>
          <w:sz w:val="24"/>
          <w:szCs w:val="24"/>
        </w:rPr>
        <w:t>‐</w:t>
      </w:r>
      <w:r>
        <w:rPr>
          <w:sz w:val="24"/>
          <w:szCs w:val="24"/>
        </w:rPr>
        <w:t>to</w:t>
      </w:r>
      <w:r>
        <w:rPr>
          <w:rFonts w:ascii="Cambria Math" w:hAnsi="Cambria Math" w:cs="Cambria Math"/>
          <w:sz w:val="24"/>
          <w:szCs w:val="24"/>
        </w:rPr>
        <w:t>‐</w:t>
      </w:r>
      <w:r>
        <w:rPr>
          <w:sz w:val="24"/>
          <w:szCs w:val="24"/>
        </w:rPr>
        <w:t>face</w:t>
      </w:r>
      <w:proofErr w:type="gramEnd"/>
      <w:r>
        <w:rPr>
          <w:sz w:val="24"/>
          <w:szCs w:val="24"/>
        </w:rPr>
        <w:t xml:space="preserve"> meetings in instructional and professional support programs, </w:t>
      </w:r>
      <w:r>
        <w:rPr>
          <w:i/>
          <w:sz w:val="24"/>
          <w:szCs w:val="24"/>
        </w:rPr>
        <w:t>Innovations in Education and Teaching International</w:t>
      </w:r>
      <w:r>
        <w:rPr>
          <w:sz w:val="24"/>
          <w:szCs w:val="24"/>
        </w:rPr>
        <w:t>, 47(3),  261-270.</w:t>
      </w:r>
    </w:p>
    <w:p w14:paraId="57CB5CE9" w14:textId="77777777" w:rsidR="008C7707" w:rsidRDefault="008C7707">
      <w:pPr>
        <w:widowControl w:val="0"/>
        <w:rPr>
          <w:sz w:val="24"/>
          <w:szCs w:val="24"/>
        </w:rPr>
      </w:pPr>
    </w:p>
    <w:p w14:paraId="2FB8471D" w14:textId="77777777" w:rsidR="008C7707" w:rsidRDefault="001B2D6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Pretty, G. H., McCarthy, M.E., and </w:t>
      </w:r>
      <w:proofErr w:type="spellStart"/>
      <w:r>
        <w:rPr>
          <w:sz w:val="24"/>
          <w:szCs w:val="24"/>
        </w:rPr>
        <w:t>Catano</w:t>
      </w:r>
      <w:proofErr w:type="spellEnd"/>
      <w:r>
        <w:rPr>
          <w:sz w:val="24"/>
          <w:szCs w:val="24"/>
        </w:rPr>
        <w:t xml:space="preserve">, V. (1992). Psychological </w:t>
      </w:r>
    </w:p>
    <w:p w14:paraId="4B8CEFA9" w14:textId="77777777" w:rsidR="008C7707" w:rsidRDefault="001B2D63">
      <w:pPr>
        <w:widowControl w:val="0"/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environments</w:t>
      </w:r>
      <w:proofErr w:type="gramEnd"/>
      <w:r>
        <w:rPr>
          <w:sz w:val="24"/>
          <w:szCs w:val="24"/>
        </w:rPr>
        <w:t xml:space="preserve"> and burnout: Gender considerations in the corporation.</w:t>
      </w:r>
    </w:p>
    <w:p w14:paraId="78D31536" w14:textId="77777777" w:rsidR="008C7707" w:rsidRDefault="001B2D63">
      <w:pPr>
        <w:widowControl w:val="0"/>
        <w:ind w:firstLine="720"/>
        <w:rPr>
          <w:sz w:val="24"/>
          <w:szCs w:val="24"/>
        </w:rPr>
      </w:pPr>
      <w:r>
        <w:rPr>
          <w:i/>
          <w:sz w:val="24"/>
          <w:szCs w:val="24"/>
        </w:rPr>
        <w:t>Journal of Organizational Behaviour</w:t>
      </w:r>
      <w:r>
        <w:rPr>
          <w:sz w:val="24"/>
          <w:szCs w:val="24"/>
        </w:rPr>
        <w:t>, 13, 701-711.</w:t>
      </w:r>
    </w:p>
    <w:p w14:paraId="54E1AB42" w14:textId="77777777" w:rsidR="008C7707" w:rsidRDefault="008C7707">
      <w:pPr>
        <w:widowControl w:val="0"/>
        <w:rPr>
          <w:sz w:val="24"/>
          <w:szCs w:val="24"/>
        </w:rPr>
      </w:pPr>
    </w:p>
    <w:p w14:paraId="7073D984" w14:textId="77777777" w:rsidR="008C7707" w:rsidRDefault="001B2D63" w:rsidP="00FD28F8">
      <w:pPr>
        <w:widowControl w:val="0"/>
        <w:ind w:left="709" w:hanging="709"/>
        <w:rPr>
          <w:sz w:val="24"/>
          <w:szCs w:val="24"/>
        </w:rPr>
      </w:pPr>
      <w:proofErr w:type="spellStart"/>
      <w:r>
        <w:rPr>
          <w:sz w:val="24"/>
          <w:szCs w:val="24"/>
        </w:rPr>
        <w:t>Seo</w:t>
      </w:r>
      <w:proofErr w:type="spellEnd"/>
      <w:r>
        <w:rPr>
          <w:sz w:val="24"/>
          <w:szCs w:val="24"/>
        </w:rPr>
        <w:t>, K. (2014). Professional learning of observers, collaborators, and contributors in a teacher created online community in Korea. Asia Pacific Journal of Education</w:t>
      </w:r>
      <w:proofErr w:type="gramStart"/>
      <w:r>
        <w:rPr>
          <w:sz w:val="24"/>
          <w:szCs w:val="24"/>
        </w:rPr>
        <w:t>,34</w:t>
      </w:r>
      <w:proofErr w:type="gramEnd"/>
      <w:r>
        <w:rPr>
          <w:sz w:val="24"/>
          <w:szCs w:val="24"/>
        </w:rPr>
        <w:t xml:space="preserve">(3), 337-350. </w:t>
      </w:r>
    </w:p>
    <w:p w14:paraId="276C954A" w14:textId="77777777" w:rsidR="008C7707" w:rsidRDefault="008C7707">
      <w:pPr>
        <w:widowControl w:val="0"/>
        <w:rPr>
          <w:sz w:val="24"/>
          <w:szCs w:val="24"/>
        </w:rPr>
      </w:pPr>
    </w:p>
    <w:p w14:paraId="0BA806F0" w14:textId="77777777" w:rsidR="008C7707" w:rsidRDefault="001B2D6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Twining, P., </w:t>
      </w:r>
      <w:proofErr w:type="spellStart"/>
      <w:r>
        <w:rPr>
          <w:sz w:val="24"/>
          <w:szCs w:val="24"/>
        </w:rPr>
        <w:t>Raffaghelli</w:t>
      </w:r>
      <w:proofErr w:type="spellEnd"/>
      <w:r>
        <w:rPr>
          <w:sz w:val="24"/>
          <w:szCs w:val="24"/>
        </w:rPr>
        <w:t xml:space="preserve">, J., Albion, P., &amp; </w:t>
      </w:r>
      <w:proofErr w:type="spellStart"/>
      <w:r>
        <w:rPr>
          <w:sz w:val="24"/>
          <w:szCs w:val="24"/>
        </w:rPr>
        <w:t>Knezek</w:t>
      </w:r>
      <w:proofErr w:type="spellEnd"/>
      <w:r>
        <w:rPr>
          <w:sz w:val="24"/>
          <w:szCs w:val="24"/>
        </w:rPr>
        <w:t xml:space="preserve">, D. (2013). Moving </w:t>
      </w:r>
    </w:p>
    <w:p w14:paraId="481ECA80" w14:textId="77777777" w:rsidR="008C7707" w:rsidRDefault="001B2D63">
      <w:pPr>
        <w:widowControl w:val="0"/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education</w:t>
      </w:r>
      <w:proofErr w:type="gramEnd"/>
      <w:r>
        <w:rPr>
          <w:sz w:val="24"/>
          <w:szCs w:val="24"/>
        </w:rPr>
        <w:t xml:space="preserve"> into the digital age: The contribution of teachers' </w:t>
      </w:r>
    </w:p>
    <w:p w14:paraId="604B7BDF" w14:textId="77777777" w:rsidR="008C7707" w:rsidRDefault="001B2D63">
      <w:pPr>
        <w:widowControl w:val="0"/>
        <w:ind w:left="720"/>
        <w:rPr>
          <w:sz w:val="24"/>
          <w:szCs w:val="24"/>
        </w:rPr>
      </w:pPr>
      <w:proofErr w:type="gramStart"/>
      <w:r>
        <w:rPr>
          <w:sz w:val="24"/>
          <w:szCs w:val="24"/>
        </w:rPr>
        <w:t>professional</w:t>
      </w:r>
      <w:proofErr w:type="gramEnd"/>
      <w:r>
        <w:rPr>
          <w:sz w:val="24"/>
          <w:szCs w:val="24"/>
        </w:rPr>
        <w:t xml:space="preserve"> development. </w:t>
      </w:r>
      <w:r>
        <w:rPr>
          <w:i/>
          <w:sz w:val="24"/>
          <w:szCs w:val="24"/>
        </w:rPr>
        <w:t>Journal of Computer Assisted Learning</w:t>
      </w:r>
      <w:r>
        <w:rPr>
          <w:sz w:val="24"/>
          <w:szCs w:val="24"/>
        </w:rPr>
        <w:t>, 29(5), 426-428.</w:t>
      </w:r>
    </w:p>
    <w:p w14:paraId="4ADBFF04" w14:textId="77777777" w:rsidR="008C7707" w:rsidRDefault="008C7707">
      <w:pPr>
        <w:widowControl w:val="0"/>
        <w:rPr>
          <w:sz w:val="24"/>
          <w:szCs w:val="24"/>
        </w:rPr>
      </w:pPr>
    </w:p>
    <w:p w14:paraId="74D31098" w14:textId="77777777" w:rsidR="008C7707" w:rsidRDefault="001B2D6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UVIC Planning and Priorities Committee. 2012. A vision for the future </w:t>
      </w:r>
    </w:p>
    <w:p w14:paraId="603096BF" w14:textId="77777777" w:rsidR="008C7707" w:rsidRDefault="001B2D63">
      <w:pPr>
        <w:widowControl w:val="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-building on excellence: A strategic plan for the University of Victoria. </w:t>
      </w:r>
    </w:p>
    <w:p w14:paraId="4313FD38" w14:textId="77777777" w:rsidR="008C7707" w:rsidRDefault="001B2D63">
      <w:pPr>
        <w:widowControl w:val="0"/>
        <w:ind w:left="720"/>
        <w:rPr>
          <w:sz w:val="24"/>
          <w:szCs w:val="24"/>
        </w:rPr>
      </w:pPr>
      <w:r>
        <w:rPr>
          <w:sz w:val="24"/>
          <w:szCs w:val="24"/>
        </w:rPr>
        <w:t>http://www.uvic.ca/strategicplan/</w:t>
      </w:r>
    </w:p>
    <w:p w14:paraId="70E63365" w14:textId="77777777" w:rsidR="008C7707" w:rsidRDefault="008C7707">
      <w:pPr>
        <w:widowControl w:val="0"/>
        <w:rPr>
          <w:sz w:val="24"/>
          <w:szCs w:val="24"/>
        </w:rPr>
      </w:pPr>
    </w:p>
    <w:p w14:paraId="4A4E92AA" w14:textId="77777777" w:rsidR="008C7707" w:rsidRDefault="001B2D6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Wenger, E. R. McDermott, and W. Snyder. (2002). Cultivation communities </w:t>
      </w:r>
    </w:p>
    <w:p w14:paraId="435D7008" w14:textId="77777777" w:rsidR="008C7707" w:rsidRDefault="001B2D63">
      <w:pPr>
        <w:widowControl w:val="0"/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of</w:t>
      </w:r>
      <w:proofErr w:type="gramEnd"/>
      <w:r>
        <w:rPr>
          <w:sz w:val="24"/>
          <w:szCs w:val="24"/>
        </w:rPr>
        <w:t xml:space="preserve"> practice: a guide to managing knowledge. Cambridge, MA: </w:t>
      </w:r>
    </w:p>
    <w:p w14:paraId="729FA870" w14:textId="77777777" w:rsidR="008C7707" w:rsidRDefault="001B2D63">
      <w:pPr>
        <w:widowControl w:val="0"/>
        <w:ind w:firstLine="720"/>
        <w:rPr>
          <w:sz w:val="24"/>
          <w:szCs w:val="24"/>
        </w:rPr>
      </w:pPr>
      <w:r>
        <w:rPr>
          <w:sz w:val="24"/>
          <w:szCs w:val="24"/>
        </w:rPr>
        <w:t>Harvard Business School of Press.</w:t>
      </w:r>
    </w:p>
    <w:sectPr w:rsidR="008C7707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07"/>
    <w:rsid w:val="001B2D63"/>
    <w:rsid w:val="003E78B9"/>
    <w:rsid w:val="008A60EB"/>
    <w:rsid w:val="008C7707"/>
    <w:rsid w:val="00FD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A98C"/>
  <w15:docId w15:val="{47D0D1F4-F4BE-4929-AE7F-59B24158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1471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72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Wood</dc:creator>
  <cp:lastModifiedBy>Inba Kehoe</cp:lastModifiedBy>
  <cp:revision>2</cp:revision>
  <dcterms:created xsi:type="dcterms:W3CDTF">2017-04-24T17:52:00Z</dcterms:created>
  <dcterms:modified xsi:type="dcterms:W3CDTF">2017-04-24T17:52:00Z</dcterms:modified>
</cp:coreProperties>
</file>